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777FEE" w:rsidTr="00913E81">
        <w:tc>
          <w:tcPr>
            <w:tcW w:w="1772" w:type="dxa"/>
            <w:hideMark/>
          </w:tcPr>
          <w:p w:rsidR="00777FEE" w:rsidRDefault="00777FEE" w:rsidP="00777FEE">
            <w:pPr>
              <w:widowControl w:val="0"/>
              <w:snapToGri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 wp14:anchorId="7D25F841" wp14:editId="34B1E0AE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777FEE" w:rsidRDefault="00777FEE" w:rsidP="00777FEE">
            <w:pPr>
              <w:spacing w:after="0" w:line="240" w:lineRule="auto"/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    PONTIFÍCIA UNIVERSIDADE CATÓLICA DE SÃO PAULO</w:t>
            </w:r>
          </w:p>
          <w:p w:rsidR="00777FEE" w:rsidRDefault="00777FEE" w:rsidP="00777FEE">
            <w:pPr>
              <w:spacing w:after="0" w:line="240" w:lineRule="auto"/>
              <w:ind w:right="635"/>
              <w:jc w:val="center"/>
              <w:rPr>
                <w:b/>
                <w:spacing w:val="26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SETOR DE PÓS-GRADUAÇÃO</w:t>
            </w:r>
          </w:p>
          <w:p w:rsidR="00777FEE" w:rsidRDefault="00777FEE" w:rsidP="00777FEE">
            <w:pPr>
              <w:spacing w:after="0" w:line="240" w:lineRule="auto"/>
              <w:ind w:right="493"/>
              <w:jc w:val="center"/>
              <w:rPr>
                <w:b/>
                <w:spacing w:val="26"/>
                <w:sz w:val="2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  <w:lang w:eastAsia="en-US"/>
                </w:rPr>
                <w:t>EM LINGÜÍSTICA APLICADA</w:t>
              </w:r>
            </w:smartTag>
            <w:r>
              <w:rPr>
                <w:b/>
                <w:spacing w:val="26"/>
                <w:lang w:eastAsia="en-US"/>
              </w:rPr>
              <w:t xml:space="preserve"> </w:t>
            </w:r>
          </w:p>
          <w:p w:rsidR="00777FEE" w:rsidRDefault="00777FEE" w:rsidP="00777FEE">
            <w:pPr>
              <w:widowControl w:val="0"/>
              <w:snapToGrid w:val="0"/>
              <w:spacing w:after="0" w:line="240" w:lineRule="auto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894D91" w:rsidRDefault="00894D91" w:rsidP="00777FEE">
      <w:pPr>
        <w:spacing w:after="0" w:line="240" w:lineRule="auto"/>
      </w:pPr>
    </w:p>
    <w:p w:rsidR="00777FEE" w:rsidRDefault="00777FEE" w:rsidP="00777FEE">
      <w:pPr>
        <w:spacing w:after="0" w:line="240" w:lineRule="auto"/>
      </w:pPr>
    </w:p>
    <w:p w:rsidR="00894D91" w:rsidRDefault="00777FEE" w:rsidP="00777FEE">
      <w:pPr>
        <w:spacing w:after="0" w:line="240" w:lineRule="auto"/>
      </w:pPr>
      <w:r w:rsidRPr="00777FEE">
        <w:rPr>
          <w:rFonts w:ascii="Times New Roman" w:hAnsi="Times New Roman" w:cs="Times New Roman"/>
          <w:b/>
          <w:sz w:val="24"/>
        </w:rPr>
        <w:t>DISCIPLINA ELETIVA:</w:t>
      </w:r>
      <w:r>
        <w:rPr>
          <w:rFonts w:ascii="Times New Roman" w:hAnsi="Times New Roman" w:cs="Times New Roman"/>
          <w:sz w:val="24"/>
        </w:rPr>
        <w:t xml:space="preserve"> </w:t>
      </w:r>
      <w:r w:rsidR="00D60253">
        <w:rPr>
          <w:rFonts w:ascii="Times New Roman" w:hAnsi="Times New Roman" w:cs="Times New Roman"/>
          <w:sz w:val="24"/>
        </w:rPr>
        <w:t xml:space="preserve">LINGUÍSTICA APLICADA </w:t>
      </w:r>
      <w:r>
        <w:rPr>
          <w:rFonts w:ascii="Times New Roman" w:hAnsi="Times New Roman" w:cs="Times New Roman"/>
          <w:sz w:val="24"/>
        </w:rPr>
        <w:t>II</w:t>
      </w:r>
      <w:r w:rsidRPr="00D6025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 LINGUAGEM DA PERSUASÃO E A RELAÇÃO TEXTO E DISCURSO. UM ENFOQUE DA LINGUÍSTICA SISTÊMICO-FUNCIONAL</w:t>
      </w:r>
    </w:p>
    <w:p w:rsidR="00894D91" w:rsidRPr="00777FEE" w:rsidRDefault="00894D91" w:rsidP="00777FEE">
      <w:pPr>
        <w:spacing w:after="0" w:line="240" w:lineRule="auto"/>
        <w:rPr>
          <w:sz w:val="18"/>
          <w:szCs w:val="18"/>
        </w:rPr>
      </w:pPr>
    </w:p>
    <w:p w:rsidR="00894D91" w:rsidRDefault="00777FEE" w:rsidP="00777FEE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Trabalho, Linguagem e Educação, </w:t>
      </w:r>
    </w:p>
    <w:p w:rsidR="00894D91" w:rsidRPr="00777FEE" w:rsidRDefault="00894D91" w:rsidP="00777FEE">
      <w:pPr>
        <w:spacing w:after="0" w:line="240" w:lineRule="auto"/>
        <w:rPr>
          <w:sz w:val="20"/>
          <w:szCs w:val="20"/>
        </w:rPr>
      </w:pPr>
    </w:p>
    <w:p w:rsidR="00894D91" w:rsidRDefault="00777FEE" w:rsidP="00777FEE">
      <w:pPr>
        <w:spacing w:after="2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 xml:space="preserve">a): 000754 </w:t>
      </w:r>
      <w:proofErr w:type="spellStart"/>
      <w:r>
        <w:rPr>
          <w:rFonts w:ascii="Times New Roman" w:hAnsi="Times New Roman" w:cs="Times New Roman"/>
          <w:sz w:val="24"/>
        </w:rPr>
        <w:t>Sumiko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Nishitani</w:t>
      </w:r>
      <w:proofErr w:type="spellEnd"/>
      <w:r>
        <w:rPr>
          <w:rFonts w:ascii="Times New Roman" w:hAnsi="Times New Roman" w:cs="Times New Roman"/>
          <w:sz w:val="24"/>
        </w:rPr>
        <w:t xml:space="preserve"> Ikeda</w:t>
      </w:r>
    </w:p>
    <w:p w:rsidR="00894D91" w:rsidRDefault="00777FEE" w:rsidP="00777FE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894D91" w:rsidRDefault="00777FEE" w:rsidP="00777FE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894D91" w:rsidRDefault="00777FEE" w:rsidP="00777FE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 xml:space="preserve">Dia/Horário: Sexta-feira, </w:t>
      </w:r>
      <w:proofErr w:type="gramStart"/>
      <w:r>
        <w:rPr>
          <w:rFonts w:ascii="Times New Roman" w:hAnsi="Times New Roman" w:cs="Times New Roman"/>
          <w:sz w:val="24"/>
        </w:rPr>
        <w:t>12:45</w:t>
      </w:r>
      <w:proofErr w:type="gramEnd"/>
      <w:r>
        <w:rPr>
          <w:rFonts w:ascii="Times New Roman" w:hAnsi="Times New Roman" w:cs="Times New Roman"/>
          <w:sz w:val="24"/>
        </w:rPr>
        <w:t>-15:45</w:t>
      </w:r>
    </w:p>
    <w:p w:rsidR="00894D91" w:rsidRDefault="00777FEE" w:rsidP="00777FEE">
      <w:pPr>
        <w:spacing w:after="2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894D91" w:rsidRDefault="00894D91" w:rsidP="00777FEE">
      <w:pPr>
        <w:spacing w:after="0" w:line="240" w:lineRule="auto"/>
      </w:pPr>
    </w:p>
    <w:p w:rsidR="00777FEE" w:rsidRDefault="00777FEE" w:rsidP="00777FEE">
      <w:pPr>
        <w:spacing w:after="0" w:line="240" w:lineRule="auto"/>
      </w:pPr>
    </w:p>
    <w:p w:rsidR="00894D91" w:rsidRDefault="00777FEE" w:rsidP="00777FEE">
      <w:pPr>
        <w:spacing w:after="0" w:line="240" w:lineRule="auto"/>
      </w:pPr>
      <w:r w:rsidRPr="00777FEE">
        <w:rPr>
          <w:rFonts w:ascii="Times New Roman" w:hAnsi="Times New Roman" w:cs="Times New Roman"/>
          <w:b/>
          <w:sz w:val="24"/>
        </w:rPr>
        <w:t>Ementa</w:t>
      </w:r>
    </w:p>
    <w:p w:rsidR="00894D91" w:rsidRPr="00777FEE" w:rsidRDefault="00894D91" w:rsidP="00777FEE">
      <w:pPr>
        <w:spacing w:after="0" w:line="240" w:lineRule="auto"/>
        <w:rPr>
          <w:sz w:val="10"/>
          <w:szCs w:val="10"/>
        </w:rPr>
      </w:pPr>
    </w:p>
    <w:p w:rsidR="00894D91" w:rsidRDefault="00777FEE" w:rsidP="00777FEE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Perguntas como: Que evidência apoia essa declaração? Quem disse isso? Que expertise tem o autor? Por que ele afirma isso? Qual é a relevância da afirmação? </w:t>
      </w:r>
      <w:proofErr w:type="gramStart"/>
      <w:r>
        <w:rPr>
          <w:rFonts w:ascii="Times New Roman" w:hAnsi="Times New Roman" w:cs="Times New Roman"/>
          <w:sz w:val="24"/>
        </w:rPr>
        <w:t>leva</w:t>
      </w:r>
      <w:proofErr w:type="gramEnd"/>
      <w:r>
        <w:rPr>
          <w:rFonts w:ascii="Times New Roman" w:hAnsi="Times New Roman" w:cs="Times New Roman"/>
          <w:sz w:val="24"/>
        </w:rPr>
        <w:t xml:space="preserve"> o leitor a compreender um texto de maneira mais profunda, ao mesmo tempo em que desvela processos discursivos da persuasão, que subjazem ao texto. Os significados de um texto dependem do </w:t>
      </w:r>
      <w:proofErr w:type="spellStart"/>
      <w:r>
        <w:rPr>
          <w:rFonts w:ascii="Times New Roman" w:hAnsi="Times New Roman" w:cs="Times New Roman"/>
          <w:sz w:val="24"/>
        </w:rPr>
        <w:t>cotexto</w:t>
      </w:r>
      <w:proofErr w:type="spellEnd"/>
      <w:r>
        <w:rPr>
          <w:rFonts w:ascii="Times New Roman" w:hAnsi="Times New Roman" w:cs="Times New Roman"/>
          <w:sz w:val="24"/>
        </w:rPr>
        <w:t xml:space="preserve"> tanto precedente quando subsequente, que por sua vez revela a natureza procedural da interpretação: as interpretações modificam-se e refinam-se de acordo com o desenvolvimento do </w:t>
      </w:r>
      <w:proofErr w:type="spellStart"/>
      <w:r>
        <w:rPr>
          <w:rFonts w:ascii="Times New Roman" w:hAnsi="Times New Roman" w:cs="Times New Roman"/>
          <w:sz w:val="24"/>
        </w:rPr>
        <w:t>cotexto</w:t>
      </w:r>
      <w:proofErr w:type="spellEnd"/>
      <w:r>
        <w:rPr>
          <w:rFonts w:ascii="Times New Roman" w:hAnsi="Times New Roman" w:cs="Times New Roman"/>
          <w:sz w:val="24"/>
        </w:rPr>
        <w:t>. Além disso, um texto também evoca seu contexto interno, conforme os interpretadores ligam o significado do texto com suas próprias expectativas socioculturais presentes em seu background. O discurso não é a apresentação linguística transparente de “estados internos” de conhecimento, mas emerge da interação dialógica entre interlocutores. Assim, a atitude é mais apropriadamente vista de um ponto intersubjetivo, e não como uma dimensão apenas subjetiva da linguagem.</w:t>
      </w:r>
    </w:p>
    <w:p w:rsidR="00894D91" w:rsidRDefault="00894D91" w:rsidP="00777FEE">
      <w:pPr>
        <w:spacing w:after="0" w:line="240" w:lineRule="auto"/>
      </w:pPr>
    </w:p>
    <w:p w:rsidR="00894D91" w:rsidRPr="007912BE" w:rsidRDefault="00777FEE" w:rsidP="00777FEE">
      <w:pPr>
        <w:spacing w:after="0" w:line="240" w:lineRule="auto"/>
        <w:rPr>
          <w:lang w:val="en-US"/>
        </w:rPr>
      </w:pPr>
      <w:proofErr w:type="spellStart"/>
      <w:r w:rsidRPr="00777FEE">
        <w:rPr>
          <w:rFonts w:ascii="Times New Roman" w:hAnsi="Times New Roman" w:cs="Times New Roman"/>
          <w:b/>
          <w:sz w:val="24"/>
          <w:lang w:val="en-US"/>
        </w:rPr>
        <w:t>Bibliografia</w:t>
      </w:r>
      <w:proofErr w:type="spellEnd"/>
    </w:p>
    <w:p w:rsidR="00894D91" w:rsidRPr="00777FEE" w:rsidRDefault="00894D91" w:rsidP="00777FEE">
      <w:pPr>
        <w:spacing w:after="0" w:line="240" w:lineRule="auto"/>
        <w:rPr>
          <w:sz w:val="10"/>
          <w:szCs w:val="10"/>
          <w:lang w:val="en-US"/>
        </w:rPr>
      </w:pP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KAPOGIANNI, </w:t>
      </w:r>
      <w:proofErr w:type="spellStart"/>
      <w:r w:rsidRPr="007912BE">
        <w:rPr>
          <w:rFonts w:ascii="Times New Roman" w:hAnsi="Times New Roman" w:cs="Times New Roman"/>
          <w:sz w:val="24"/>
          <w:lang w:val="en-US"/>
        </w:rPr>
        <w:t>Eleni</w:t>
      </w:r>
      <w:proofErr w:type="spellEnd"/>
      <w:r w:rsidRPr="007912BE">
        <w:rPr>
          <w:rFonts w:ascii="Times New Roman" w:hAnsi="Times New Roman" w:cs="Times New Roman"/>
          <w:sz w:val="24"/>
          <w:lang w:val="en-US"/>
        </w:rPr>
        <w:t>. The ironic operation: Revisiting the components of ironic meaning. Journal of Pragmatics 91, 2016, 16-28.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KÄRKKÄINEN, Elise. Stance taking in conversation: From subjectivity to </w:t>
      </w:r>
      <w:proofErr w:type="spellStart"/>
      <w:r w:rsidRPr="007912BE">
        <w:rPr>
          <w:rFonts w:ascii="Times New Roman" w:hAnsi="Times New Roman" w:cs="Times New Roman"/>
          <w:sz w:val="24"/>
          <w:lang w:val="en-US"/>
        </w:rPr>
        <w:t>intersubjectivity</w:t>
      </w:r>
      <w:proofErr w:type="spellEnd"/>
      <w:r w:rsidRPr="007912BE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Text &amp; Talk 26.6 (699-731), 2006.</w:t>
      </w:r>
      <w:proofErr w:type="gramEnd"/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KOTTHOFF, Helga.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Responding to irony in different contexts: On cognition in conversation Journal of Pragmatics 35, 2003, p. 1387-1411.</w:t>
      </w:r>
      <w:proofErr w:type="gramEnd"/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>LEE, Benny P.H. Mutual knowledge, background knowledge and shared beliefs: Their roles in stablishing common ground. Journal of Pragmatics 33, 2001, p. 21-44.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>MAILLAT, Didier. Constraining context selection: On the pragmatic inevitability of manipulation. Journal of Pragmatics 59, 2013, p. 190-199.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HALLIDAY, Michael A.K.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An Introduction to Functional Grammar.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E. Arnold.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London, 1994.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LEE, S.H.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An integrative framework for the analyses of argumentative/persuasive essays from an interpersonal perspective.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Text &amp; Talk 28.2, 2008, p. 339-270.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r w:rsidRPr="007912BE">
        <w:rPr>
          <w:rFonts w:ascii="Times New Roman" w:hAnsi="Times New Roman" w:cs="Times New Roman"/>
          <w:sz w:val="24"/>
          <w:lang w:val="en-US"/>
        </w:rPr>
        <w:t xml:space="preserve">MARTIN, J.R. Beyond exchange: APPRAISAL System in English. In: Susan </w:t>
      </w:r>
      <w:proofErr w:type="spellStart"/>
      <w:r w:rsidRPr="007912BE">
        <w:rPr>
          <w:rFonts w:ascii="Times New Roman" w:hAnsi="Times New Roman" w:cs="Times New Roman"/>
          <w:sz w:val="24"/>
          <w:lang w:val="en-US"/>
        </w:rPr>
        <w:t>Hunston</w:t>
      </w:r>
      <w:proofErr w:type="spellEnd"/>
      <w:r w:rsidRPr="007912BE">
        <w:rPr>
          <w:rFonts w:ascii="Times New Roman" w:hAnsi="Times New Roman" w:cs="Times New Roman"/>
          <w:sz w:val="24"/>
          <w:lang w:val="en-US"/>
        </w:rPr>
        <w:t xml:space="preserve"> e Geoff Thompson.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Evaluation in Text - Authorial Stance and the Construction of Discourse.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Oxford: Oxford University Press, 2000.</w:t>
      </w:r>
    </w:p>
    <w:p w:rsidR="00894D91" w:rsidRPr="007912BE" w:rsidRDefault="00777FEE" w:rsidP="00777FEE">
      <w:pPr>
        <w:spacing w:after="0" w:line="240" w:lineRule="auto"/>
        <w:rPr>
          <w:lang w:val="en-US"/>
        </w:rPr>
      </w:pP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SAUSSURE, Louis de.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7912BE">
        <w:rPr>
          <w:rFonts w:ascii="Times New Roman" w:hAnsi="Times New Roman" w:cs="Times New Roman"/>
          <w:sz w:val="24"/>
          <w:lang w:val="en-US"/>
        </w:rPr>
        <w:t>Background relevance.</w:t>
      </w:r>
      <w:proofErr w:type="gramEnd"/>
      <w:r w:rsidRPr="007912BE">
        <w:rPr>
          <w:rFonts w:ascii="Times New Roman" w:hAnsi="Times New Roman" w:cs="Times New Roman"/>
          <w:sz w:val="24"/>
          <w:lang w:val="en-US"/>
        </w:rPr>
        <w:t xml:space="preserve"> Journal of Pragmatics 59, 2013, p. 178-189.</w:t>
      </w:r>
    </w:p>
    <w:p w:rsidR="00894D91" w:rsidRDefault="00777FEE" w:rsidP="00777FEE">
      <w:pPr>
        <w:spacing w:after="0" w:line="240" w:lineRule="auto"/>
      </w:pPr>
      <w:r w:rsidRPr="007912BE">
        <w:rPr>
          <w:rFonts w:ascii="Times New Roman" w:hAnsi="Times New Roman" w:cs="Times New Roman"/>
          <w:sz w:val="24"/>
          <w:lang w:val="en-US"/>
        </w:rPr>
        <w:t xml:space="preserve">LI, J. Transitivity and lexical cohesion: Press representations of a political disaster and its actors. </w:t>
      </w:r>
      <w:proofErr w:type="spellStart"/>
      <w:r>
        <w:rPr>
          <w:rFonts w:ascii="Times New Roman" w:hAnsi="Times New Roman" w:cs="Times New Roman"/>
          <w:sz w:val="24"/>
        </w:rPr>
        <w:t>Journal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Pragmatics</w:t>
      </w:r>
      <w:proofErr w:type="spellEnd"/>
      <w:r>
        <w:rPr>
          <w:rFonts w:ascii="Times New Roman" w:hAnsi="Times New Roman" w:cs="Times New Roman"/>
          <w:sz w:val="24"/>
        </w:rPr>
        <w:t xml:space="preserve">, 42.12, 2010, p. 3444-3458.   </w:t>
      </w:r>
    </w:p>
    <w:sectPr w:rsidR="00894D91" w:rsidSect="00777FEE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1"/>
    <w:rsid w:val="004767B5"/>
    <w:rsid w:val="00777FEE"/>
    <w:rsid w:val="007912BE"/>
    <w:rsid w:val="00894D91"/>
    <w:rsid w:val="00D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41E36718-99FC-4255-BCC6-AD44BF7D5E6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dcterms:created xsi:type="dcterms:W3CDTF">2016-05-23T18:23:00Z</dcterms:created>
  <dcterms:modified xsi:type="dcterms:W3CDTF">2016-05-23T18:23:00Z</dcterms:modified>
</cp:coreProperties>
</file>